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F6" w:rsidRDefault="002110F6" w:rsidP="002110F6">
      <w:pPr>
        <w:pStyle w:val="a5"/>
        <w:ind w:firstLineChars="343" w:firstLine="723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长春汽车工业高等专科学校教学成果奖励条例（试行）</w:t>
      </w:r>
    </w:p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第一章总则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第一条为推进学校教学工作规范、健康发展，引领学校示范建设工作，调动广大教职工从事教学改革和教学研究工作的积极性，特制定本办法。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第二条 教学成果为我校第一完成人的适用本条例。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第三条教学成果每年一次申报与奖励。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第四条本条例未明确规定奖励标准的</w:t>
      </w:r>
      <w:proofErr w:type="gramStart"/>
      <w:r>
        <w:rPr>
          <w:rFonts w:ascii="仿宋_GB2312" w:eastAsia="仿宋_GB2312" w:hint="eastAsia"/>
          <w:sz w:val="21"/>
          <w:szCs w:val="21"/>
        </w:rPr>
        <w:t>特殊成果</w:t>
      </w:r>
      <w:proofErr w:type="gramEnd"/>
      <w:r>
        <w:rPr>
          <w:rFonts w:ascii="仿宋_GB2312" w:eastAsia="仿宋_GB2312" w:hint="eastAsia"/>
          <w:sz w:val="21"/>
          <w:szCs w:val="21"/>
        </w:rPr>
        <w:t>由校学术委员会参照国家、省、市有关文件与本条例体系酌情议定奖励标准。</w:t>
      </w:r>
    </w:p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第二章奖励范围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第五条教学成果奖励范围包括：教材、精品课、教学团队、指导学生参加的各类竞赛、教师所参加的各类竞赛等。</w:t>
      </w:r>
    </w:p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第三章奖励标准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第六条教材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（一）规划教材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Times New Roman" w:hAnsi="Times New Roman" w:cs="Times New Roman"/>
          <w:sz w:val="21"/>
          <w:szCs w:val="21"/>
        </w:rPr>
        <w:t>  </w:t>
      </w:r>
      <w:r>
        <w:rPr>
          <w:rFonts w:ascii="仿宋_GB2312" w:eastAsia="仿宋_GB2312" w:hint="eastAsia"/>
          <w:sz w:val="21"/>
          <w:szCs w:val="21"/>
        </w:rPr>
        <w:t>国家级规划教材奖励主编4000元；（国家级规划教材认定以教育部文件和教材封面标注“国家普通高等教育规划教材”一致为依据）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（二）教材评优：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国家级一等奖奖励6000元；国家级二等奖奖励 5000元；国家级三等奖奖励 4000元。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第七条精品课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lastRenderedPageBreak/>
        <w:t>国家级精品课每门奖励教学团队 2万元；省级精品课每门奖励教学团队1万元；市级、校级精品课每门奖励教学团队7000元。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第八条 教学团队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国家级教学团队奖励1万元；省级教学团队奖励5000元；校级级教学团队奖励2000元。</w:t>
      </w:r>
    </w:p>
    <w:p w:rsidR="002110F6" w:rsidRPr="009609D0" w:rsidRDefault="002110F6" w:rsidP="009609D0">
      <w:pPr>
        <w:pStyle w:val="a5"/>
        <w:spacing w:line="360" w:lineRule="auto"/>
        <w:ind w:firstLine="401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第九条 教师</w:t>
      </w:r>
      <w:r w:rsidR="009609D0">
        <w:rPr>
          <w:rFonts w:ascii="仿宋_GB2312" w:eastAsia="仿宋_GB2312" w:hint="eastAsia"/>
          <w:sz w:val="21"/>
          <w:szCs w:val="21"/>
        </w:rPr>
        <w:t>（</w:t>
      </w:r>
      <w:r w:rsidR="009609D0">
        <w:rPr>
          <w:rFonts w:ascii="仿宋_GB2312" w:eastAsia="仿宋_GB2312" w:hint="eastAsia"/>
          <w:sz w:val="21"/>
          <w:szCs w:val="21"/>
        </w:rPr>
        <w:t>指导</w:t>
      </w:r>
      <w:r w:rsidR="009609D0">
        <w:rPr>
          <w:rFonts w:ascii="仿宋_GB2312" w:eastAsia="仿宋_GB2312" w:hint="eastAsia"/>
          <w:sz w:val="21"/>
          <w:szCs w:val="21"/>
        </w:rPr>
        <w:t>）</w:t>
      </w:r>
      <w:r>
        <w:rPr>
          <w:rFonts w:ascii="仿宋_GB2312" w:eastAsia="仿宋_GB2312" w:hint="eastAsia"/>
          <w:sz w:val="21"/>
          <w:szCs w:val="21"/>
        </w:rPr>
        <w:t>竞赛</w:t>
      </w:r>
      <w:r w:rsidR="009609D0">
        <w:rPr>
          <w:rFonts w:ascii="仿宋_GB2312" w:eastAsia="仿宋_GB2312" w:hint="eastAsia"/>
          <w:sz w:val="21"/>
          <w:szCs w:val="21"/>
        </w:rPr>
        <w:t>参照</w:t>
      </w:r>
      <w:r w:rsidR="009609D0" w:rsidRPr="009609D0">
        <w:rPr>
          <w:rFonts w:ascii="仿宋_GB2312" w:eastAsia="仿宋_GB2312" w:hint="eastAsia"/>
          <w:sz w:val="21"/>
          <w:szCs w:val="21"/>
        </w:rPr>
        <w:t>《长春汽车工业高等专科学校教师（指导）竞赛管理办法(试行)》</w:t>
      </w:r>
      <w:r w:rsidR="009609D0">
        <w:rPr>
          <w:rFonts w:ascii="仿宋_GB2312" w:eastAsia="仿宋_GB2312" w:hint="eastAsia"/>
          <w:sz w:val="21"/>
          <w:szCs w:val="21"/>
        </w:rPr>
        <w:t>（</w:t>
      </w:r>
      <w:proofErr w:type="gramStart"/>
      <w:r>
        <w:rPr>
          <w:rFonts w:ascii="仿宋_GB2312" w:eastAsia="仿宋_GB2312" w:hint="eastAsia"/>
          <w:sz w:val="21"/>
          <w:szCs w:val="21"/>
        </w:rPr>
        <w:t>长汽高</w:t>
      </w:r>
      <w:proofErr w:type="gramEnd"/>
      <w:r>
        <w:rPr>
          <w:rFonts w:ascii="仿宋_GB2312" w:eastAsia="仿宋_GB2312" w:hint="eastAsia"/>
          <w:sz w:val="21"/>
          <w:szCs w:val="21"/>
        </w:rPr>
        <w:t>专教字201</w:t>
      </w:r>
      <w:r w:rsidR="009609D0">
        <w:rPr>
          <w:rFonts w:ascii="仿宋_GB2312" w:eastAsia="仿宋_GB2312" w:hint="eastAsia"/>
          <w:sz w:val="21"/>
          <w:szCs w:val="21"/>
        </w:rPr>
        <w:t>9</w:t>
      </w:r>
      <w:r>
        <w:rPr>
          <w:rFonts w:ascii="仿宋_GB2312" w:eastAsia="仿宋_GB2312" w:hint="eastAsia"/>
          <w:sz w:val="21"/>
          <w:szCs w:val="21"/>
        </w:rPr>
        <w:t>【</w:t>
      </w:r>
      <w:r w:rsidR="009609D0">
        <w:rPr>
          <w:rFonts w:ascii="仿宋_GB2312" w:eastAsia="仿宋_GB2312" w:hint="eastAsia"/>
          <w:sz w:val="21"/>
          <w:szCs w:val="21"/>
        </w:rPr>
        <w:t>79</w:t>
      </w:r>
      <w:r>
        <w:rPr>
          <w:rFonts w:ascii="仿宋_GB2312" w:eastAsia="仿宋_GB2312" w:hint="eastAsia"/>
          <w:sz w:val="21"/>
          <w:szCs w:val="21"/>
        </w:rPr>
        <w:t>】号文件）</w:t>
      </w:r>
    </w:p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第四章奖项申报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第十一条各奖项以证书排名第一位为申报人。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第十二条教材奖由主编直接申报。</w:t>
      </w:r>
    </w:p>
    <w:p w:rsidR="002110F6" w:rsidRDefault="002110F6" w:rsidP="002110F6">
      <w:pPr>
        <w:pStyle w:val="a5"/>
        <w:spacing w:line="360" w:lineRule="auto"/>
        <w:ind w:firstLine="401"/>
      </w:pPr>
      <w:bookmarkStart w:id="0" w:name="_GoBack"/>
      <w:r>
        <w:rPr>
          <w:rFonts w:ascii="仿宋_GB2312" w:eastAsia="仿宋_GB2312" w:hint="eastAsia"/>
          <w:sz w:val="21"/>
          <w:szCs w:val="21"/>
        </w:rPr>
        <w:t>第十三条申报人负责奖项举证。</w:t>
      </w:r>
    </w:p>
    <w:bookmarkEnd w:id="0"/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第五章奖金分配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第十四条以我校教职工作为第一完成人的奖项，按奖励标准金额奖励；以我校教职工作为第二完成人的奖项，按奖励标准额度的30%予以奖励。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第十五条同一项目符合多项奖项条件者，奖励就高不就低，不重复奖励。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第十六条奖励资金由申报人负责与合作成员协商分配。</w:t>
      </w:r>
    </w:p>
    <w:p w:rsidR="002110F6" w:rsidRDefault="002110F6" w:rsidP="002110F6">
      <w:pPr>
        <w:pStyle w:val="a5"/>
        <w:spacing w:line="360" w:lineRule="auto"/>
        <w:jc w:val="center"/>
      </w:pPr>
      <w:r>
        <w:rPr>
          <w:rStyle w:val="a6"/>
          <w:rFonts w:ascii="仿宋_GB2312" w:eastAsia="仿宋_GB2312" w:hint="eastAsia"/>
          <w:sz w:val="21"/>
          <w:szCs w:val="21"/>
        </w:rPr>
        <w:t>第六章附则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第十七条以上奖励标准中所说“国家级”、“省级”均以能代表政府的职能部门为准，各类学会、协会、研究会、委员会等均相应降低一级。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lastRenderedPageBreak/>
        <w:t>第十八条对调离我校的教职工，后续奖励即行终止。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第十九条对违规、违法操作或弄虚作假，剽窃他人成果者，一经查实，撤销奖励，追回奖金及证书，并给予行政处分。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第二十条教学成果的申报、登记由部门负责，认定、统计由教务处</w:t>
      </w:r>
      <w:proofErr w:type="gramStart"/>
      <w:r>
        <w:rPr>
          <w:rFonts w:ascii="仿宋_GB2312" w:eastAsia="仿宋_GB2312" w:hint="eastAsia"/>
          <w:sz w:val="21"/>
          <w:szCs w:val="21"/>
        </w:rPr>
        <w:t>教研科</w:t>
      </w:r>
      <w:proofErr w:type="gramEnd"/>
      <w:r>
        <w:rPr>
          <w:rFonts w:ascii="仿宋_GB2312" w:eastAsia="仿宋_GB2312" w:hint="eastAsia"/>
          <w:sz w:val="21"/>
          <w:szCs w:val="21"/>
        </w:rPr>
        <w:t>负责。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二十一条教学成果奖励每年奖励一次，申请人在次年4月20日之前填写《教学成果奖励审批表》（附件1）三份以及科研成果奖励汇总表（附件2）一份，并附一份教学成果原件和复印件上报教务处教研科。表格上交纸质以及电子档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第二十二条本条例解释权归属学校教务处。</w:t>
      </w:r>
    </w:p>
    <w:p w:rsidR="002110F6" w:rsidRDefault="002110F6" w:rsidP="002110F6">
      <w:pPr>
        <w:pStyle w:val="a5"/>
        <w:spacing w:line="360" w:lineRule="auto"/>
        <w:ind w:firstLine="401"/>
      </w:pPr>
      <w:r>
        <w:rPr>
          <w:rFonts w:ascii="仿宋_GB2312" w:eastAsia="仿宋_GB2312" w:hint="eastAsia"/>
          <w:sz w:val="21"/>
          <w:szCs w:val="21"/>
        </w:rPr>
        <w:t>第二十三条 本条例自生效之日起废止《教育培训中心薪酬改革实施方案》（2006年10号文件）中关于教学成果奖励的规定。</w:t>
      </w:r>
    </w:p>
    <w:p w:rsidR="004358AB" w:rsidRPr="002110F6" w:rsidRDefault="004358AB" w:rsidP="00D31D50">
      <w:pPr>
        <w:spacing w:line="220" w:lineRule="atLeast"/>
      </w:pPr>
    </w:p>
    <w:sectPr w:rsidR="004358AB" w:rsidRPr="002110F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E1" w:rsidRDefault="003E63E1" w:rsidP="002110F6">
      <w:pPr>
        <w:spacing w:after="0"/>
      </w:pPr>
      <w:r>
        <w:separator/>
      </w:r>
    </w:p>
  </w:endnote>
  <w:endnote w:type="continuationSeparator" w:id="0">
    <w:p w:rsidR="003E63E1" w:rsidRDefault="003E63E1" w:rsidP="002110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E1" w:rsidRDefault="003E63E1" w:rsidP="002110F6">
      <w:pPr>
        <w:spacing w:after="0"/>
      </w:pPr>
      <w:r>
        <w:separator/>
      </w:r>
    </w:p>
  </w:footnote>
  <w:footnote w:type="continuationSeparator" w:id="0">
    <w:p w:rsidR="003E63E1" w:rsidRDefault="003E63E1" w:rsidP="002110F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256D"/>
    <w:rsid w:val="002110F6"/>
    <w:rsid w:val="00323B43"/>
    <w:rsid w:val="003D37D8"/>
    <w:rsid w:val="003E63E1"/>
    <w:rsid w:val="00426133"/>
    <w:rsid w:val="004358AB"/>
    <w:rsid w:val="006A4F07"/>
    <w:rsid w:val="008B7726"/>
    <w:rsid w:val="008D47A1"/>
    <w:rsid w:val="009609D0"/>
    <w:rsid w:val="00D31D50"/>
    <w:rsid w:val="00FE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10F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10F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10F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10F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110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2110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</cp:lastModifiedBy>
  <cp:revision>6</cp:revision>
  <dcterms:created xsi:type="dcterms:W3CDTF">2008-09-11T17:20:00Z</dcterms:created>
  <dcterms:modified xsi:type="dcterms:W3CDTF">2020-11-11T07:27:00Z</dcterms:modified>
</cp:coreProperties>
</file>